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3485F21F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C37BB8">
        <w:rPr>
          <w:rFonts w:ascii="LM Roman 10" w:hAnsi="LM Roman 10"/>
          <w:sz w:val="20"/>
          <w:szCs w:val="20"/>
          <w:u w:val="single"/>
        </w:rPr>
        <w:t>Chimiluminescence du luminol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0585370" w14:textId="34F84458" w:rsidR="00001E2A" w:rsidRPr="00C37BB8" w:rsidRDefault="00C37BB8" w:rsidP="00C37BB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Bracelets/batons fluorescents</w:t>
      </w:r>
    </w:p>
    <w:p w14:paraId="3362AC80" w14:textId="5C92F732" w:rsidR="00C37BB8" w:rsidRPr="00C37BB8" w:rsidRDefault="00C37BB8" w:rsidP="00C37BB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luminol solide (3-aminophthalhydrazide)</w:t>
      </w:r>
    </w:p>
    <w:p w14:paraId="272549F5" w14:textId="45025C15" w:rsidR="00C37BB8" w:rsidRPr="00C37BB8" w:rsidRDefault="00297812" w:rsidP="00C37BB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solution </w:t>
      </w:r>
      <w:r w:rsidR="00C37BB8">
        <w:rPr>
          <w:rFonts w:ascii="LM Roman 10" w:hAnsi="LM Roman 10"/>
          <w:sz w:val="20"/>
          <w:szCs w:val="20"/>
        </w:rPr>
        <w:t>hexacyanoferrate III de potassium</w:t>
      </w:r>
      <w:r>
        <w:rPr>
          <w:rFonts w:ascii="LM Roman 10" w:hAnsi="LM Roman 10"/>
          <w:sz w:val="20"/>
          <w:szCs w:val="20"/>
        </w:rPr>
        <w:t xml:space="preserve"> à 0.1 M (M=329.244 g/mol)</w:t>
      </w:r>
    </w:p>
    <w:p w14:paraId="0D22260A" w14:textId="70FFAAC7" w:rsidR="00C37BB8" w:rsidRPr="00C37BB8" w:rsidRDefault="00C37BB8" w:rsidP="00C37BB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Solution d’eau oxygénée à 30%</w:t>
      </w:r>
    </w:p>
    <w:p w14:paraId="03FDB60D" w14:textId="6105FBBA" w:rsidR="00001E2A" w:rsidRPr="00C37BB8" w:rsidRDefault="00C37BB8" w:rsidP="00C37BB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NaOH solide</w:t>
      </w:r>
    </w:p>
    <w:p w14:paraId="4CD18F1D" w14:textId="63459E4B" w:rsidR="007C46E4" w:rsidRPr="004D5FA7" w:rsidRDefault="00A11467" w:rsidP="00A11467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297812">
        <w:rPr>
          <w:rFonts w:ascii="Cambria Math" w:hAnsi="Cambria Math"/>
          <w:i/>
          <w:sz w:val="20"/>
          <w:szCs w:val="20"/>
        </w:rPr>
        <w:t>Porteu de buchère p 327</w:t>
      </w:r>
      <w:r w:rsidR="00C37BB8">
        <w:rPr>
          <w:rFonts w:ascii="Cambria Math" w:hAnsi="Cambria Math"/>
          <w:i/>
          <w:sz w:val="20"/>
          <w:szCs w:val="20"/>
        </w:rPr>
        <w:t xml:space="preserve"> + </w:t>
      </w:r>
      <w:r w:rsidR="00D77811">
        <w:rPr>
          <w:rFonts w:ascii="Cambria Math" w:hAnsi="Cambria Math"/>
          <w:i/>
          <w:sz w:val="20"/>
          <w:szCs w:val="20"/>
        </w:rPr>
        <w:t>(</w:t>
      </w:r>
      <w:r w:rsidR="00C37BB8">
        <w:rPr>
          <w:rFonts w:ascii="Cambria Math" w:hAnsi="Cambria Math"/>
          <w:i/>
          <w:sz w:val="20"/>
          <w:szCs w:val="20"/>
        </w:rPr>
        <w:t>lumière et luminescence</w:t>
      </w:r>
      <w:r w:rsidR="00297812">
        <w:rPr>
          <w:rFonts w:ascii="Cambria Math" w:hAnsi="Cambria Math"/>
          <w:i/>
          <w:sz w:val="20"/>
          <w:szCs w:val="20"/>
        </w:rPr>
        <w:t xml:space="preserve"> p206</w:t>
      </w:r>
      <w:r w:rsidR="00D77811">
        <w:rPr>
          <w:rFonts w:ascii="Cambria Math" w:hAnsi="Cambria Math"/>
          <w:i/>
          <w:sz w:val="20"/>
          <w:szCs w:val="20"/>
        </w:rPr>
        <w:t xml:space="preserve"> = culture)</w:t>
      </w:r>
      <w:bookmarkStart w:id="0" w:name="_GoBack"/>
      <w:bookmarkEnd w:id="0"/>
    </w:p>
    <w:p w14:paraId="4EC83673" w14:textId="77777777" w:rsidR="00EE1E47" w:rsidRDefault="00EE1E47" w:rsidP="00EE1E47">
      <w:pPr>
        <w:jc w:val="both"/>
        <w:rPr>
          <w:rFonts w:ascii="LM Roman 10" w:hAnsi="LM Roman 10"/>
          <w:i/>
          <w:sz w:val="20"/>
          <w:szCs w:val="20"/>
        </w:rPr>
      </w:pPr>
    </w:p>
    <w:p w14:paraId="17ED2D40" w14:textId="4D697545" w:rsidR="00EE1E47" w:rsidRDefault="00297812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des réactifs</w:t>
      </w:r>
    </w:p>
    <w:p w14:paraId="7EFA5470" w14:textId="4DEA564E" w:rsidR="00001E2A" w:rsidRPr="00297812" w:rsidRDefault="00297812" w:rsidP="0029781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 bécher de 250 mL dissoudre 0.5g de NaOH dans 50 mL d’eau et ajouter 0.1g de luminol, agiter jusqu’à dissolution</w:t>
      </w:r>
    </w:p>
    <w:p w14:paraId="765187C5" w14:textId="285F0189" w:rsidR="00D77811" w:rsidRPr="00D77811" w:rsidRDefault="00297812" w:rsidP="00D7781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un bécher de 100 ml introduire 50 mL d’hexacyanoferrate de potassium à </w:t>
      </w:r>
      <w:r w:rsidR="00D77811">
        <w:rPr>
          <w:rFonts w:ascii="LM Roman 10" w:hAnsi="LM Roman 10"/>
          <w:sz w:val="20"/>
          <w:szCs w:val="20"/>
        </w:rPr>
        <w:t>0.1 M</w:t>
      </w:r>
    </w:p>
    <w:p w14:paraId="1A505C2F" w14:textId="77777777" w:rsidR="00EE1E47" w:rsidRDefault="00EE1E47" w:rsidP="00A11467">
      <w:pPr>
        <w:rPr>
          <w:rFonts w:ascii="LM Roman 10" w:hAnsi="LM Roman 10"/>
          <w:i/>
          <w:sz w:val="20"/>
          <w:szCs w:val="20"/>
        </w:rPr>
      </w:pPr>
    </w:p>
    <w:p w14:paraId="13AA739E" w14:textId="12892549" w:rsidR="00D54CE4" w:rsidRPr="004D5FA7" w:rsidRDefault="00D77811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Chimiluminescence</w:t>
      </w:r>
    </w:p>
    <w:p w14:paraId="39350A92" w14:textId="31DE6353" w:rsidR="00001E2A" w:rsidRDefault="00D77811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Se placer dans un endroit sombre (hotte+salle éteinte)</w:t>
      </w:r>
    </w:p>
    <w:p w14:paraId="42E367D1" w14:textId="25EC7ADB" w:rsidR="00001E2A" w:rsidRDefault="00D77811" w:rsidP="00D7781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3 mL d’eau oxygénée à 30% dans la solution d’hexacyanoferrate, agiter rapidement puis introduire cette solution dans le bécher contenant le luminol</w:t>
      </w:r>
    </w:p>
    <w:p w14:paraId="59629B4A" w14:textId="0AAA1003" w:rsidR="00592063" w:rsidRPr="00EE1E47" w:rsidRDefault="00592063" w:rsidP="00D77811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sectPr w:rsidR="00592063" w:rsidRPr="00EE1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102736"/>
    <w:rsid w:val="00135C4D"/>
    <w:rsid w:val="00135E8B"/>
    <w:rsid w:val="00163D10"/>
    <w:rsid w:val="001B4CB3"/>
    <w:rsid w:val="001E096E"/>
    <w:rsid w:val="00224304"/>
    <w:rsid w:val="00231B7B"/>
    <w:rsid w:val="00242112"/>
    <w:rsid w:val="00245857"/>
    <w:rsid w:val="00263004"/>
    <w:rsid w:val="002723A3"/>
    <w:rsid w:val="00297812"/>
    <w:rsid w:val="002B337C"/>
    <w:rsid w:val="002C692A"/>
    <w:rsid w:val="003332BA"/>
    <w:rsid w:val="00360E2B"/>
    <w:rsid w:val="0038466A"/>
    <w:rsid w:val="003B08AB"/>
    <w:rsid w:val="00414DCD"/>
    <w:rsid w:val="004224AE"/>
    <w:rsid w:val="00483A10"/>
    <w:rsid w:val="0048661F"/>
    <w:rsid w:val="004D07EE"/>
    <w:rsid w:val="004D5FA7"/>
    <w:rsid w:val="00533241"/>
    <w:rsid w:val="00592063"/>
    <w:rsid w:val="005A75CC"/>
    <w:rsid w:val="00620BAD"/>
    <w:rsid w:val="006506F9"/>
    <w:rsid w:val="00651704"/>
    <w:rsid w:val="006E0F8C"/>
    <w:rsid w:val="0075226B"/>
    <w:rsid w:val="007C46E4"/>
    <w:rsid w:val="007C6D9E"/>
    <w:rsid w:val="007D3728"/>
    <w:rsid w:val="00895839"/>
    <w:rsid w:val="00916F5D"/>
    <w:rsid w:val="0095447B"/>
    <w:rsid w:val="0096202D"/>
    <w:rsid w:val="00985180"/>
    <w:rsid w:val="009E7CF3"/>
    <w:rsid w:val="00A11467"/>
    <w:rsid w:val="00A24D88"/>
    <w:rsid w:val="00A83AE6"/>
    <w:rsid w:val="00A8598C"/>
    <w:rsid w:val="00AA391A"/>
    <w:rsid w:val="00AA4595"/>
    <w:rsid w:val="00AA5651"/>
    <w:rsid w:val="00AF6441"/>
    <w:rsid w:val="00B353AF"/>
    <w:rsid w:val="00B61158"/>
    <w:rsid w:val="00BA6E6C"/>
    <w:rsid w:val="00BC0669"/>
    <w:rsid w:val="00C37BB8"/>
    <w:rsid w:val="00D24452"/>
    <w:rsid w:val="00D54CE4"/>
    <w:rsid w:val="00D60F1D"/>
    <w:rsid w:val="00D77811"/>
    <w:rsid w:val="00D85A5B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118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75</cp:revision>
  <dcterms:created xsi:type="dcterms:W3CDTF">2018-10-27T17:10:00Z</dcterms:created>
  <dcterms:modified xsi:type="dcterms:W3CDTF">2019-06-04T11:53:00Z</dcterms:modified>
</cp:coreProperties>
</file>